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ADRESĂ CĂTRE BANCĂ</w:t>
      </w:r>
    </w:p>
    <w:p>
      <w:pPr>
        <w:jc w:val="center"/>
      </w:pPr>
      <w:r>
        <w:rPr>
          <w:i/>
          <w:color w:val="666666"/>
          <w:sz w:val="20"/>
        </w:rPr>
        <w:t>actualizarea persoanelor cu drept de semnătură pe contul asociației</w:t>
      </w:r>
    </w:p>
    <w:p/>
    <w:p>
      <w:r>
        <w:t>Către ______________________ Bank — Sucursala/Agenția ______________</w:t>
      </w:r>
    </w:p>
    <w:p>
      <w:r>
        <w:t>Ref.: contul curent al Asociației de Proprietari ______________, IBAN ______________________________</w:t>
      </w:r>
    </w:p>
    <w:p>
      <w:r>
        <w:t>Prin prezenta vă comunicăm că, în urma hotărârii adunării generale nr. ____/____________ (proces-verbal anexat), organele asociației s-au modificat, astfel încât vă solicităm actualizarea specimenelor de semnătură și a persoanelor autorizate pe contul de mai sus, după cum urmează:</w:t>
      </w:r>
    </w:p>
    <w:p>
      <w:pPr>
        <w:pStyle w:val="ListBullet"/>
      </w:pPr>
      <w:r>
        <w:t>Președinte (drept de semnătură): ______________________, CNP ______, CI seria ____ nr. ______;</w:t>
      </w:r>
    </w:p>
    <w:p>
      <w:pPr>
        <w:pStyle w:val="ListBullet"/>
      </w:pPr>
      <w:r>
        <w:t>A doua semnătură (după caz, conform statutului): ______________________, funcția ______;</w:t>
      </w:r>
    </w:p>
    <w:p>
      <w:pPr>
        <w:pStyle w:val="ListBullet"/>
      </w:pPr>
      <w:r>
        <w:t>Se revocă accesul următoarelor persoane: ______________________ (funcția anterioară: ______).</w:t>
      </w:r>
    </w:p>
    <w:p>
      <w:r>
        <w:t>Vă reamintim că, potrivit art. 20 alin. (1) și art. 67 alin. (2) din Legea nr. 196/2018, asociația utilizează un singur cont curent pentru toate încasările și plățile, la care toți proprietarii au acces pentru informare, în condițiile art. 2.184–2.190 din Codul civil.</w:t>
      </w:r>
    </w:p>
    <w:p>
      <w:r>
        <w:t>Anexe: hotărârea AG privind alegerile; actele de identitate ale semnatarilor; certificatul CIF al asociației.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Cenzor (aviz)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20, art. 56–57 și art. 67 alin. (2)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