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NOTIFICARE</w:t>
      </w:r>
    </w:p>
    <w:p>
      <w:pPr>
        <w:jc w:val="center"/>
      </w:pPr>
      <w:r>
        <w:rPr>
          <w:i/>
          <w:color w:val="666666"/>
          <w:sz w:val="20"/>
        </w:rPr>
        <w:t>privind obligația executării lucrărilor de întreținere/reparații la proprietatea individuală</w:t>
      </w:r>
    </w:p>
    <w:p/>
    <w:p>
      <w:r>
        <w:t>Către dl/dna ______________________, proprietar al ap. nr. ____</w:t>
      </w:r>
    </w:p>
    <w:p>
      <w:r>
        <w:t>În urma constatărilor din data de ____________ (proces-verbal anexat), vă aducem la cunoștință că elementele de construcții/instalații aflate în proprietatea dumneavoastră individuală: ______________________________ prezintă defecțiuni/degradări de natură să aducă prejudicii celorlalți proprietari / proprietății comune: ______________________________.</w:t>
      </w:r>
    </w:p>
    <w:p>
      <w:r>
        <w:t>În temeiul art. 30 alin. (4)–(5) din Legea nr. 196/2018, aveți obligația să executați pe cheltuiala dumneavoastră lucrările de întreținere, reparații sau înlocuire necesare, într-un termen rezonabil; vă solicităm efectuarea acestora până la data de ____________.</w:t>
      </w:r>
    </w:p>
    <w:p>
      <w:r>
        <w:t>Vă informăm că: neexecutarea lucrărilor, dacă este de natură să prejudicieze pe ceilalți proprietari, constituie contravenție sancționată cu amendă de la 5.000 la 10.000 lei (art. 102 alin. (1) lit. h)); pagubele deja produse se suportă de proprietarul vinovat (art. 30 alin. (5)); în caz de risc iminent, asociația va uza de dreptul de acces cu preaviz de 24 de ore (art. 31).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4706"/>
          </w:tcPr>
          <w:p>
            <w:r>
              <w:rPr>
                <w:b/>
              </w:rPr>
              <w:t>Administrator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30 alin. (4)–(5), art. 31 și art. 102 alin. (1) lit. h)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