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ANGAJAMENT DE PLATĂ (EȘALONARE)</w:t>
      </w:r>
    </w:p>
    <w:p>
      <w:pPr>
        <w:jc w:val="center"/>
      </w:pPr>
      <w:r>
        <w:rPr>
          <w:i/>
          <w:color w:val="666666"/>
          <w:sz w:val="20"/>
        </w:rPr>
        <w:t>convenit între asociație și proprietarul restanțier</w:t>
      </w:r>
    </w:p>
    <w:p/>
    <w:p>
      <w:r>
        <w:t>Între Asociația de Proprietari ______________, reprezentată de președinte ______________, și dl/dna ______________________, proprietar al ap. nr. ____, se încheie prezentul angajament:</w:t>
      </w:r>
    </w:p>
    <w:p>
      <w:r>
        <w:t>1. Debitul recunoscut la data de ____________: restanță de bază ______ lei + penalități ______ lei = TOTAL ______ lei. Proprietarul recunoaște debitul în cuantumul de mai sus.</w:t>
      </w:r>
    </w:p>
    <w:p>
      <w:r>
        <w:t>2. Eșalonare: ____ rate lunare a câte ______ lei, scadente la data de ____ a fiecărei luni, începând cu ____________, plătibile în contul asociației. Ratele se adaugă cotelor curente, care se achită la termenele lor.</w:t>
      </w:r>
    </w:p>
    <w:p>
      <w:r>
        <w:t>3. Pe durata respectării angajamentului, asociația suspendă demersurile judiciare și de executare pentru debitul eșalonat. Penalitățile curg în continuare în condițiile art. 77 (cu plafonul legal) / se calculează la sold conform hotărârii AG.</w:t>
      </w:r>
    </w:p>
    <w:p>
      <w:r>
        <w:t>4. Neplata a ____ rate atrage decăderea din beneficiul eșalonării, întregul sold devenind exigibil, cu reluarea de îndată a măsurilor legale (art. 78, art. 80).</w:t>
      </w:r>
    </w:p>
    <w:p>
      <w:r>
        <w:t>Încheiat în 2 exemplare, câte unul pentru fiecare parte.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c>
          <w:tcPr>
            <w:tcW w:type="dxa" w:w="3137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3137"/>
          </w:tcPr>
          <w:p>
            <w:r>
              <w:rPr>
                <w:b/>
              </w:rPr>
              <w:t>Proprietar</w:t>
            </w:r>
          </w:p>
        </w:tc>
        <w:tc>
          <w:tcPr>
            <w:tcW w:type="dxa" w:w="3137"/>
          </w:tcPr>
          <w:p>
            <w:r>
              <w:rPr>
                <w:b/>
              </w:rPr>
              <w:t>Avizat — cenzor</w:t>
            </w:r>
          </w:p>
        </w:tc>
      </w:tr>
      <w:tr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53 lit. i), art. 77–78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